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jc w:val="center"/>
        <w:rPr>
          <w:rFonts w:ascii="Arial" w:hAnsi="Arial" w:cs="Arial"/>
          <w:b/>
          <w:sz w:val="32"/>
          <w:szCs w:val="32"/>
          <w:u w:val="single"/>
        </w:rPr>
      </w:pPr>
      <w:bookmarkStart w:id="0" w:name="_GoBack"/>
      <w:bookmarkEnd w:id="0"/>
      <w:r>
        <w:rPr>
          <w:rFonts w:ascii="Arial" w:hAnsi="Arial" w:cs="Arial"/>
          <w:b/>
          <w:sz w:val="32"/>
          <w:szCs w:val="32"/>
          <w:u w:val="single"/>
        </w:rPr>
        <w:t>Fragen- und Antwortkatalog zur öffentlichen Ausschreibung :</w:t>
      </w:r>
    </w:p>
    <w:p>
      <w:pPr>
        <w:spacing w:after="0"/>
        <w:jc w:val="center"/>
        <w:rPr>
          <w:rFonts w:ascii="Arial" w:hAnsi="Arial" w:cs="Arial"/>
          <w:b/>
          <w:sz w:val="32"/>
          <w:szCs w:val="32"/>
        </w:rPr>
      </w:pPr>
      <w:r>
        <w:rPr>
          <w:rFonts w:ascii="Arial" w:hAnsi="Arial" w:cs="Arial"/>
          <w:b/>
          <w:bCs/>
          <w:color w:val="000000"/>
          <w:sz w:val="32"/>
          <w:szCs w:val="32"/>
        </w:rPr>
        <w:t>Rahmenvertrag bedarfsabhängige Dolmetscherleistungen</w:t>
      </w:r>
    </w:p>
    <w:p>
      <w:pPr>
        <w:spacing w:after="0"/>
        <w:jc w:val="center"/>
        <w:rPr>
          <w:rFonts w:ascii="Arial" w:hAnsi="Arial" w:cs="Arial"/>
          <w:b/>
          <w:sz w:val="32"/>
          <w:szCs w:val="32"/>
        </w:rPr>
      </w:pPr>
      <w:r>
        <w:rPr>
          <w:rFonts w:ascii="Arial" w:hAnsi="Arial" w:cs="Arial"/>
          <w:b/>
          <w:sz w:val="32"/>
          <w:szCs w:val="32"/>
        </w:rPr>
        <w:t>(ZV) 19-21-80-18/17</w:t>
      </w:r>
    </w:p>
    <w:p>
      <w:pPr>
        <w:spacing w:after="0"/>
        <w:rPr>
          <w:rFonts w:ascii="Arial" w:hAnsi="Arial" w:cs="Arial"/>
        </w:rPr>
      </w:pPr>
    </w:p>
    <w:p>
      <w:pPr>
        <w:spacing w:after="0"/>
        <w:jc w:val="center"/>
        <w:rPr>
          <w:rFonts w:ascii="Arial" w:hAnsi="Arial" w:cs="Arial"/>
          <w:b/>
        </w:rPr>
      </w:pPr>
      <w:r>
        <w:rPr>
          <w:rFonts w:ascii="Arial" w:hAnsi="Arial" w:cs="Arial"/>
          <w:b/>
        </w:rPr>
        <w:t>Stand: 31.01.2017</w:t>
      </w:r>
    </w:p>
    <w:p>
      <w:pPr>
        <w:spacing w:after="0"/>
        <w:rPr>
          <w:rFonts w:ascii="Arial" w:hAnsi="Arial" w:cs="Arial"/>
        </w:rPr>
      </w:pPr>
    </w:p>
    <w:p>
      <w:pPr>
        <w:spacing w:after="0"/>
        <w:rPr>
          <w:rFonts w:ascii="Arial" w:hAnsi="Arial" w:cs="Arial"/>
          <w:b/>
        </w:rPr>
      </w:pPr>
      <w:r>
        <w:rPr>
          <w:rFonts w:ascii="Arial" w:hAnsi="Arial" w:cs="Arial"/>
          <w:b/>
        </w:rPr>
        <w:t>Wichtige Vorbemerkung:</w:t>
      </w:r>
    </w:p>
    <w:p>
      <w:pPr>
        <w:spacing w:after="0"/>
        <w:rPr>
          <w:rFonts w:ascii="Arial" w:hAnsi="Arial" w:cs="Arial"/>
        </w:rPr>
      </w:pPr>
      <w:r>
        <w:rPr>
          <w:rFonts w:ascii="Arial" w:hAnsi="Arial" w:cs="Arial"/>
        </w:rPr>
        <w:t>Entsprechend Abschnitt A.6 der Verdingungsunterlagen dieser öffentlichen Ausschreibung werden die Antworten dieses Fragen- und Antwortkatalogs sowie Änderungen, Ergänzungen und Hinweise der Vergabestelle zum Bestandteil der Verdingungsunterlagen.</w:t>
      </w:r>
    </w:p>
    <w:p>
      <w:pPr>
        <w:spacing w:after="0"/>
        <w:rPr>
          <w:rFonts w:ascii="Arial" w:hAnsi="Arial" w:cs="Arial"/>
        </w:rPr>
      </w:pPr>
    </w:p>
    <w:tbl>
      <w:tblPr>
        <w:tblStyle w:val="Tabellenraster"/>
        <w:tblW w:w="0" w:type="auto"/>
        <w:tblLook w:val="04A0" w:firstRow="1" w:lastRow="0" w:firstColumn="1" w:lastColumn="0" w:noHBand="0" w:noVBand="1"/>
      </w:tblPr>
      <w:tblGrid>
        <w:gridCol w:w="7338"/>
        <w:gridCol w:w="1874"/>
      </w:tblGrid>
      <w:tr>
        <w:tc>
          <w:tcPr>
            <w:tcW w:w="7338" w:type="dxa"/>
          </w:tcPr>
          <w:p>
            <w:pPr>
              <w:rPr>
                <w:rFonts w:ascii="Arial" w:hAnsi="Arial" w:cs="Arial"/>
                <w:b/>
                <w:sz w:val="28"/>
                <w:szCs w:val="28"/>
              </w:rPr>
            </w:pPr>
            <w:r>
              <w:rPr>
                <w:rFonts w:ascii="Arial" w:hAnsi="Arial" w:cs="Arial"/>
                <w:b/>
                <w:sz w:val="28"/>
                <w:szCs w:val="28"/>
              </w:rPr>
              <w:t>Betreffender Teil der Verdingungsunterlagen</w:t>
            </w:r>
          </w:p>
        </w:tc>
        <w:tc>
          <w:tcPr>
            <w:tcW w:w="1874" w:type="dxa"/>
          </w:tcPr>
          <w:p>
            <w:pPr>
              <w:rPr>
                <w:rFonts w:ascii="Arial" w:hAnsi="Arial" w:cs="Arial"/>
                <w:b/>
                <w:sz w:val="28"/>
                <w:szCs w:val="28"/>
              </w:rPr>
            </w:pPr>
            <w:r>
              <w:rPr>
                <w:rFonts w:ascii="Arial" w:hAnsi="Arial" w:cs="Arial"/>
                <w:b/>
                <w:sz w:val="28"/>
                <w:szCs w:val="28"/>
              </w:rPr>
              <w:t>Zuletzt geändert:</w:t>
            </w:r>
          </w:p>
        </w:tc>
      </w:tr>
    </w:tbl>
    <w:p>
      <w:pPr>
        <w:spacing w:after="0"/>
        <w:rPr>
          <w:rFonts w:ascii="Arial" w:hAnsi="Arial" w:cs="Arial"/>
        </w:rPr>
      </w:pPr>
    </w:p>
    <w:tbl>
      <w:tblPr>
        <w:tblStyle w:val="Tabellenraster"/>
        <w:tblW w:w="0" w:type="auto"/>
        <w:tblLook w:val="04A0" w:firstRow="1" w:lastRow="0" w:firstColumn="1" w:lastColumn="0" w:noHBand="0" w:noVBand="1"/>
      </w:tblPr>
      <w:tblGrid>
        <w:gridCol w:w="7338"/>
        <w:gridCol w:w="1874"/>
      </w:tblGrid>
      <w:tr>
        <w:tc>
          <w:tcPr>
            <w:tcW w:w="7338" w:type="dxa"/>
          </w:tcPr>
          <w:p>
            <w:pPr>
              <w:rPr>
                <w:rFonts w:ascii="Arial" w:hAnsi="Arial" w:cs="Arial"/>
                <w:b/>
              </w:rPr>
            </w:pPr>
            <w:r>
              <w:rPr>
                <w:rFonts w:ascii="Arial" w:hAnsi="Arial" w:cs="Arial"/>
                <w:b/>
              </w:rPr>
              <w:t>Teil A  -  Allgemeine Hinweise</w:t>
            </w:r>
          </w:p>
        </w:tc>
        <w:tc>
          <w:tcPr>
            <w:tcW w:w="1874" w:type="dxa"/>
          </w:tcPr>
          <w:p>
            <w:pPr>
              <w:rPr>
                <w:rFonts w:ascii="Arial" w:hAnsi="Arial" w:cs="Arial"/>
              </w:rPr>
            </w:pPr>
          </w:p>
        </w:tc>
      </w:tr>
    </w:tbl>
    <w:p>
      <w:pPr>
        <w:spacing w:after="0"/>
        <w:rPr>
          <w:rFonts w:ascii="Arial" w:hAnsi="Arial" w:cs="Arial"/>
        </w:rPr>
      </w:pPr>
    </w:p>
    <w:tbl>
      <w:tblPr>
        <w:tblStyle w:val="Tabellenraster"/>
        <w:tblW w:w="0" w:type="auto"/>
        <w:tblLook w:val="04A0" w:firstRow="1" w:lastRow="0" w:firstColumn="1" w:lastColumn="0" w:noHBand="0" w:noVBand="1"/>
      </w:tblPr>
      <w:tblGrid>
        <w:gridCol w:w="7338"/>
        <w:gridCol w:w="1874"/>
      </w:tblGrid>
      <w:tr>
        <w:tc>
          <w:tcPr>
            <w:tcW w:w="7338" w:type="dxa"/>
          </w:tcPr>
          <w:p>
            <w:pPr>
              <w:rPr>
                <w:rFonts w:ascii="Arial" w:hAnsi="Arial" w:cs="Arial"/>
                <w:b/>
              </w:rPr>
            </w:pPr>
            <w:r>
              <w:rPr>
                <w:rFonts w:ascii="Arial" w:hAnsi="Arial" w:cs="Arial"/>
                <w:b/>
              </w:rPr>
              <w:t>Teil B  -  Leistungsbeschreibung</w:t>
            </w:r>
          </w:p>
        </w:tc>
        <w:tc>
          <w:tcPr>
            <w:tcW w:w="1874" w:type="dxa"/>
          </w:tcPr>
          <w:p>
            <w:pPr>
              <w:rPr>
                <w:rFonts w:ascii="Arial" w:hAnsi="Arial" w:cs="Arial"/>
              </w:rPr>
            </w:pPr>
          </w:p>
        </w:tc>
      </w:tr>
    </w:tbl>
    <w:p>
      <w:pPr>
        <w:spacing w:after="0"/>
        <w:rPr>
          <w:rFonts w:ascii="Arial" w:hAnsi="Arial" w:cs="Arial"/>
        </w:rPr>
      </w:pPr>
    </w:p>
    <w:tbl>
      <w:tblPr>
        <w:tblStyle w:val="Tabellenraster"/>
        <w:tblW w:w="0" w:type="auto"/>
        <w:tblLook w:val="04A0" w:firstRow="1" w:lastRow="0" w:firstColumn="1" w:lastColumn="0" w:noHBand="0" w:noVBand="1"/>
      </w:tblPr>
      <w:tblGrid>
        <w:gridCol w:w="7338"/>
        <w:gridCol w:w="1874"/>
      </w:tblGrid>
      <w:tr>
        <w:tc>
          <w:tcPr>
            <w:tcW w:w="7338" w:type="dxa"/>
          </w:tcPr>
          <w:p>
            <w:pPr>
              <w:rPr>
                <w:rFonts w:ascii="Arial" w:hAnsi="Arial" w:cs="Arial"/>
                <w:b/>
              </w:rPr>
            </w:pPr>
            <w:r>
              <w:rPr>
                <w:rFonts w:ascii="Arial" w:hAnsi="Arial" w:cs="Arial"/>
                <w:b/>
              </w:rPr>
              <w:t>Teil C  -  Vertragsbedingungen</w:t>
            </w:r>
          </w:p>
        </w:tc>
        <w:tc>
          <w:tcPr>
            <w:tcW w:w="1874" w:type="dxa"/>
          </w:tcPr>
          <w:p>
            <w:pPr>
              <w:rPr>
                <w:rFonts w:ascii="Arial" w:hAnsi="Arial" w:cs="Arial"/>
              </w:rPr>
            </w:pPr>
          </w:p>
        </w:tc>
      </w:tr>
    </w:tbl>
    <w:p>
      <w:pPr>
        <w:spacing w:after="0"/>
        <w:rPr>
          <w:rFonts w:ascii="Arial" w:hAnsi="Arial" w:cs="Arial"/>
        </w:rPr>
      </w:pPr>
    </w:p>
    <w:tbl>
      <w:tblPr>
        <w:tblStyle w:val="Tabellenraster"/>
        <w:tblW w:w="0" w:type="auto"/>
        <w:tblLook w:val="04A0" w:firstRow="1" w:lastRow="0" w:firstColumn="1" w:lastColumn="0" w:noHBand="0" w:noVBand="1"/>
      </w:tblPr>
      <w:tblGrid>
        <w:gridCol w:w="7338"/>
        <w:gridCol w:w="1874"/>
      </w:tblGrid>
      <w:tr>
        <w:tc>
          <w:tcPr>
            <w:tcW w:w="7338" w:type="dxa"/>
          </w:tcPr>
          <w:p>
            <w:pPr>
              <w:rPr>
                <w:rFonts w:ascii="Arial" w:hAnsi="Arial" w:cs="Arial"/>
                <w:b/>
              </w:rPr>
            </w:pPr>
            <w:r>
              <w:rPr>
                <w:rFonts w:ascii="Arial" w:hAnsi="Arial" w:cs="Arial"/>
                <w:b/>
              </w:rPr>
              <w:t>Teil D  -  Vordrucke zur Angebotsabgabe</w:t>
            </w:r>
          </w:p>
        </w:tc>
        <w:tc>
          <w:tcPr>
            <w:tcW w:w="1874" w:type="dxa"/>
          </w:tcPr>
          <w:p>
            <w:pPr>
              <w:rPr>
                <w:rFonts w:ascii="Arial" w:hAnsi="Arial" w:cs="Arial"/>
              </w:rPr>
            </w:pPr>
          </w:p>
        </w:tc>
      </w:tr>
    </w:tbl>
    <w:p>
      <w:pPr>
        <w:spacing w:after="0"/>
        <w:rPr>
          <w:rFonts w:ascii="Arial" w:hAnsi="Arial" w:cs="Arial"/>
        </w:rPr>
      </w:pPr>
    </w:p>
    <w:tbl>
      <w:tblPr>
        <w:tblStyle w:val="Tabellenraster"/>
        <w:tblW w:w="0" w:type="auto"/>
        <w:tblLook w:val="04A0" w:firstRow="1" w:lastRow="0" w:firstColumn="1" w:lastColumn="0" w:noHBand="0" w:noVBand="1"/>
      </w:tblPr>
      <w:tblGrid>
        <w:gridCol w:w="7338"/>
        <w:gridCol w:w="1874"/>
      </w:tblGrid>
      <w:tr>
        <w:tc>
          <w:tcPr>
            <w:tcW w:w="7338" w:type="dxa"/>
          </w:tcPr>
          <w:p>
            <w:pPr>
              <w:rPr>
                <w:rFonts w:ascii="Arial" w:hAnsi="Arial" w:cs="Arial"/>
                <w:b/>
              </w:rPr>
            </w:pPr>
            <w:r>
              <w:rPr>
                <w:rFonts w:ascii="Arial" w:hAnsi="Arial" w:cs="Arial"/>
                <w:b/>
              </w:rPr>
              <w:t>Teil E  -  Los- und Preisblatt</w:t>
            </w:r>
          </w:p>
        </w:tc>
        <w:tc>
          <w:tcPr>
            <w:tcW w:w="1874" w:type="dxa"/>
          </w:tcPr>
          <w:p>
            <w:pPr>
              <w:rPr>
                <w:rFonts w:ascii="Arial" w:hAnsi="Arial" w:cs="Arial"/>
              </w:rPr>
            </w:pPr>
          </w:p>
        </w:tc>
      </w:tr>
    </w:tbl>
    <w:p>
      <w:pPr>
        <w:spacing w:after="0"/>
        <w:rPr>
          <w:rFonts w:ascii="Arial" w:hAnsi="Arial" w:cs="Arial"/>
        </w:rPr>
      </w:pPr>
    </w:p>
    <w:p>
      <w:pPr>
        <w:spacing w:after="0"/>
        <w:rPr>
          <w:rFonts w:ascii="Arial" w:hAnsi="Arial" w:cs="Arial"/>
        </w:rPr>
      </w:pPr>
    </w:p>
    <w:p>
      <w:pPr>
        <w:spacing w:after="0"/>
        <w:rPr>
          <w:rFonts w:ascii="Arial" w:hAnsi="Arial" w:cs="Arial"/>
          <w:b/>
          <w:sz w:val="24"/>
          <w:szCs w:val="24"/>
        </w:rPr>
      </w:pPr>
      <w:r>
        <w:rPr>
          <w:rFonts w:ascii="Arial" w:hAnsi="Arial" w:cs="Arial"/>
          <w:b/>
          <w:sz w:val="24"/>
          <w:szCs w:val="24"/>
        </w:rPr>
        <w:t>B – Leistungsbeschreibung</w:t>
      </w:r>
    </w:p>
    <w:tbl>
      <w:tblPr>
        <w:tblStyle w:val="Tabellenraster"/>
        <w:tblW w:w="0" w:type="auto"/>
        <w:tblLook w:val="04A0" w:firstRow="1" w:lastRow="0" w:firstColumn="1" w:lastColumn="0" w:noHBand="0" w:noVBand="1"/>
      </w:tblPr>
      <w:tblGrid>
        <w:gridCol w:w="675"/>
        <w:gridCol w:w="914"/>
        <w:gridCol w:w="6379"/>
        <w:gridCol w:w="1318"/>
      </w:tblGrid>
      <w:tr>
        <w:tc>
          <w:tcPr>
            <w:tcW w:w="675" w:type="dxa"/>
          </w:tcPr>
          <w:p>
            <w:pPr>
              <w:rPr>
                <w:rFonts w:ascii="Arial" w:hAnsi="Arial" w:cs="Arial"/>
                <w:b/>
              </w:rPr>
            </w:pPr>
            <w:r>
              <w:rPr>
                <w:rFonts w:ascii="Arial" w:hAnsi="Arial" w:cs="Arial"/>
                <w:b/>
              </w:rPr>
              <w:t>Lfd. Nr.</w:t>
            </w:r>
          </w:p>
        </w:tc>
        <w:tc>
          <w:tcPr>
            <w:tcW w:w="914" w:type="dxa"/>
          </w:tcPr>
          <w:p>
            <w:pPr>
              <w:rPr>
                <w:rFonts w:ascii="Arial" w:hAnsi="Arial" w:cs="Arial"/>
                <w:b/>
              </w:rPr>
            </w:pPr>
            <w:r>
              <w:rPr>
                <w:rFonts w:ascii="Arial" w:hAnsi="Arial" w:cs="Arial"/>
                <w:b/>
              </w:rPr>
              <w:t>Teil der VU</w:t>
            </w:r>
          </w:p>
        </w:tc>
        <w:tc>
          <w:tcPr>
            <w:tcW w:w="6379" w:type="dxa"/>
          </w:tcPr>
          <w:p>
            <w:pPr>
              <w:rPr>
                <w:rFonts w:ascii="Arial" w:hAnsi="Arial" w:cs="Arial"/>
                <w:b/>
              </w:rPr>
            </w:pPr>
            <w:r>
              <w:rPr>
                <w:rFonts w:ascii="Arial" w:hAnsi="Arial" w:cs="Arial"/>
                <w:b/>
              </w:rPr>
              <w:t>Frage / Hinweis / Antwort</w:t>
            </w:r>
          </w:p>
        </w:tc>
        <w:tc>
          <w:tcPr>
            <w:tcW w:w="1318" w:type="dxa"/>
          </w:tcPr>
          <w:p>
            <w:pPr>
              <w:rPr>
                <w:rFonts w:ascii="Arial" w:hAnsi="Arial" w:cs="Arial"/>
                <w:b/>
              </w:rPr>
            </w:pPr>
            <w:r>
              <w:rPr>
                <w:rFonts w:ascii="Arial" w:hAnsi="Arial" w:cs="Arial"/>
                <w:b/>
              </w:rPr>
              <w:t>Datum</w:t>
            </w:r>
          </w:p>
        </w:tc>
      </w:tr>
      <w:tr>
        <w:tc>
          <w:tcPr>
            <w:tcW w:w="675" w:type="dxa"/>
          </w:tcPr>
          <w:p>
            <w:pPr>
              <w:jc w:val="center"/>
              <w:rPr>
                <w:rFonts w:ascii="Arial" w:hAnsi="Arial" w:cs="Arial"/>
              </w:rPr>
            </w:pPr>
            <w:r>
              <w:rPr>
                <w:rFonts w:ascii="Arial" w:hAnsi="Arial" w:cs="Arial"/>
              </w:rPr>
              <w:t>1</w:t>
            </w:r>
          </w:p>
        </w:tc>
        <w:tc>
          <w:tcPr>
            <w:tcW w:w="914" w:type="dxa"/>
          </w:tcPr>
          <w:p>
            <w:pPr>
              <w:jc w:val="center"/>
              <w:rPr>
                <w:rFonts w:ascii="Arial" w:hAnsi="Arial" w:cs="Arial"/>
              </w:rPr>
            </w:pPr>
            <w:r>
              <w:rPr>
                <w:rFonts w:ascii="Arial" w:hAnsi="Arial" w:cs="Arial"/>
              </w:rPr>
              <w:t>B.1.6</w:t>
            </w:r>
          </w:p>
        </w:tc>
        <w:tc>
          <w:tcPr>
            <w:tcW w:w="6379" w:type="dxa"/>
          </w:tcPr>
          <w:p>
            <w:pPr>
              <w:rPr>
                <w:rFonts w:ascii="Arial" w:hAnsi="Arial" w:cs="Arial"/>
                <w:b/>
              </w:rPr>
            </w:pPr>
            <w:r>
              <w:rPr>
                <w:rFonts w:ascii="Arial" w:hAnsi="Arial" w:cs="Arial"/>
                <w:b/>
              </w:rPr>
              <w:t>Frage:</w:t>
            </w:r>
          </w:p>
          <w:p>
            <w:pPr>
              <w:rPr>
                <w:rFonts w:ascii="Arial" w:eastAsia="Calibri" w:hAnsi="Arial" w:cs="Arial"/>
                <w:color w:val="000000"/>
              </w:rPr>
            </w:pPr>
            <w:r>
              <w:rPr>
                <w:rFonts w:ascii="Arial" w:eastAsia="Calibri" w:hAnsi="Arial" w:cs="Arial"/>
                <w:color w:val="000000"/>
              </w:rPr>
              <w:t xml:space="preserve">Gelten bei dieser Ausschreibung die Fahrzeiten für die An- und Abfahrt abermals nicht als Arbeitszeit, so dass im Normalfall nur die in der Verwaltungseinheit selbst verbrachte Zeit honoriert wird? </w:t>
            </w:r>
          </w:p>
          <w:p>
            <w:pPr>
              <w:autoSpaceDE w:val="0"/>
              <w:autoSpaceDN w:val="0"/>
              <w:jc w:val="both"/>
              <w:rPr>
                <w:rFonts w:ascii="Arial" w:eastAsia="Calibri" w:hAnsi="Arial" w:cs="Arial"/>
                <w:b/>
                <w:color w:val="000000"/>
              </w:rPr>
            </w:pPr>
          </w:p>
          <w:p>
            <w:pPr>
              <w:autoSpaceDE w:val="0"/>
              <w:autoSpaceDN w:val="0"/>
              <w:jc w:val="both"/>
              <w:rPr>
                <w:rFonts w:ascii="Arial" w:eastAsia="Calibri" w:hAnsi="Arial" w:cs="Arial"/>
                <w:b/>
                <w:color w:val="000000"/>
              </w:rPr>
            </w:pPr>
            <w:r>
              <w:rPr>
                <w:rFonts w:ascii="Arial" w:eastAsia="Calibri" w:hAnsi="Arial" w:cs="Arial"/>
                <w:b/>
                <w:color w:val="000000"/>
              </w:rPr>
              <w:t>Antwort:</w:t>
            </w:r>
          </w:p>
          <w:p>
            <w:pPr>
              <w:rPr>
                <w:rFonts w:ascii="Arial" w:eastAsia="Calibri" w:hAnsi="Arial" w:cs="Arial"/>
                <w:color w:val="000000"/>
              </w:rPr>
            </w:pPr>
            <w:r>
              <w:rPr>
                <w:rFonts w:ascii="Arial" w:eastAsia="Calibri" w:hAnsi="Arial" w:cs="Arial"/>
                <w:color w:val="000000"/>
              </w:rPr>
              <w:t>Fahrtkosten jeglicher Art für An- und Abfahrten zur jeweiligen Verwaltungseinheit gelten nicht als Arbeitszeit und werden nicht vergütet (diese sind in den Bruttopreis des Stundensatzes einzukalkulieren).</w:t>
            </w:r>
          </w:p>
          <w:p>
            <w:pPr>
              <w:rPr>
                <w:rFonts w:ascii="Arial" w:eastAsia="Calibri" w:hAnsi="Arial" w:cs="Arial"/>
                <w:color w:val="000000"/>
              </w:rPr>
            </w:pPr>
          </w:p>
          <w:p>
            <w:pPr>
              <w:rPr>
                <w:rFonts w:ascii="Arial" w:eastAsia="Calibri" w:hAnsi="Arial" w:cs="Arial"/>
                <w:color w:val="000000"/>
              </w:rPr>
            </w:pPr>
            <w:r>
              <w:rPr>
                <w:rFonts w:ascii="Arial" w:eastAsia="Calibri" w:hAnsi="Arial" w:cs="Arial"/>
                <w:color w:val="000000"/>
              </w:rPr>
              <w:t>Eine Ausnahme stellen die in Punkt B.1.6 der Leistungsbeschreibung genannten Einsätze dar, welche einen über die An- und Abfahrt zur jeweiligen Verwaltungseinheit hinausgehenden Fahrtenaufwand mit sich bringen (insbesondere Außendiensteinsätze des Ermittlungsdienstes). In diesen Fällen gelten die notwendigen Fahrzeiten als Arbeitszeit; eine gesonderte Vergütung der Fahrtkosten erfolgt nicht.</w:t>
            </w:r>
          </w:p>
        </w:tc>
        <w:tc>
          <w:tcPr>
            <w:tcW w:w="1318" w:type="dxa"/>
          </w:tcPr>
          <w:p>
            <w:pPr>
              <w:rPr>
                <w:rFonts w:ascii="Arial" w:hAnsi="Arial" w:cs="Arial"/>
              </w:rPr>
            </w:pPr>
            <w:r>
              <w:rPr>
                <w:rFonts w:ascii="Arial" w:hAnsi="Arial" w:cs="Arial"/>
              </w:rPr>
              <w:t>27.01.2017</w:t>
            </w:r>
          </w:p>
        </w:tc>
      </w:tr>
      <w:tr>
        <w:tc>
          <w:tcPr>
            <w:tcW w:w="675" w:type="dxa"/>
          </w:tcPr>
          <w:p>
            <w:pPr>
              <w:jc w:val="center"/>
              <w:rPr>
                <w:rFonts w:ascii="Arial" w:hAnsi="Arial" w:cs="Arial"/>
              </w:rPr>
            </w:pPr>
            <w:r>
              <w:rPr>
                <w:rFonts w:ascii="Arial" w:hAnsi="Arial" w:cs="Arial"/>
              </w:rPr>
              <w:lastRenderedPageBreak/>
              <w:t>2</w:t>
            </w:r>
          </w:p>
        </w:tc>
        <w:tc>
          <w:tcPr>
            <w:tcW w:w="914" w:type="dxa"/>
          </w:tcPr>
          <w:p>
            <w:pPr>
              <w:jc w:val="center"/>
              <w:rPr>
                <w:rFonts w:ascii="Arial" w:hAnsi="Arial" w:cs="Arial"/>
              </w:rPr>
            </w:pPr>
            <w:r>
              <w:rPr>
                <w:rFonts w:ascii="Arial" w:hAnsi="Arial" w:cs="Arial"/>
              </w:rPr>
              <w:t>B.1.3.4</w:t>
            </w:r>
          </w:p>
        </w:tc>
        <w:tc>
          <w:tcPr>
            <w:tcW w:w="6379" w:type="dxa"/>
          </w:tcPr>
          <w:p>
            <w:pPr>
              <w:rPr>
                <w:rFonts w:ascii="Arial" w:hAnsi="Arial" w:cs="Arial"/>
                <w:b/>
              </w:rPr>
            </w:pPr>
            <w:r>
              <w:rPr>
                <w:rFonts w:ascii="Arial" w:hAnsi="Arial" w:cs="Arial"/>
                <w:b/>
              </w:rPr>
              <w:t>Frage:</w:t>
            </w:r>
          </w:p>
          <w:p>
            <w:pPr>
              <w:autoSpaceDE w:val="0"/>
              <w:autoSpaceDN w:val="0"/>
              <w:jc w:val="both"/>
              <w:rPr>
                <w:rFonts w:ascii="Arial" w:eastAsia="Calibri" w:hAnsi="Arial" w:cs="Arial"/>
                <w:color w:val="000000"/>
              </w:rPr>
            </w:pPr>
            <w:r>
              <w:rPr>
                <w:rFonts w:ascii="Arial" w:eastAsia="Calibri" w:hAnsi="Arial" w:cs="Arial"/>
                <w:color w:val="000000"/>
              </w:rPr>
              <w:t>Könnten die Lose 1-15 auch als Telefondolmetscher Leistung im Sofort Service angeboten werden?</w:t>
            </w:r>
          </w:p>
          <w:p>
            <w:pPr>
              <w:autoSpaceDE w:val="0"/>
              <w:autoSpaceDN w:val="0"/>
              <w:jc w:val="both"/>
              <w:rPr>
                <w:rFonts w:ascii="Arial" w:eastAsia="Calibri" w:hAnsi="Arial" w:cs="Arial"/>
                <w:color w:val="000000"/>
              </w:rPr>
            </w:pPr>
          </w:p>
          <w:p>
            <w:pPr>
              <w:autoSpaceDE w:val="0"/>
              <w:autoSpaceDN w:val="0"/>
              <w:jc w:val="both"/>
              <w:rPr>
                <w:rFonts w:ascii="Arial" w:eastAsia="Calibri" w:hAnsi="Arial" w:cs="Arial"/>
                <w:b/>
                <w:color w:val="000000"/>
              </w:rPr>
            </w:pPr>
            <w:r>
              <w:rPr>
                <w:rFonts w:ascii="Arial" w:eastAsia="Calibri" w:hAnsi="Arial" w:cs="Arial"/>
                <w:b/>
                <w:color w:val="000000"/>
              </w:rPr>
              <w:t>Antwort:</w:t>
            </w:r>
          </w:p>
          <w:p>
            <w:pPr>
              <w:rPr>
                <w:rFonts w:ascii="Arial" w:eastAsia="Calibri" w:hAnsi="Arial" w:cs="Arial"/>
                <w:color w:val="000000"/>
              </w:rPr>
            </w:pPr>
            <w:r>
              <w:rPr>
                <w:rFonts w:ascii="Arial" w:eastAsia="Calibri" w:hAnsi="Arial" w:cs="Arial"/>
                <w:color w:val="000000"/>
              </w:rPr>
              <w:t>Die Leistungsbeschreibung sieht vor, dass Dolmetscher/innen nach telefonischer Anforderung durch den Auftraggeber an dem vom Auftraggeber bestimmten Einsatzort zur Verfügung stehen. Durch den Einsatz von Telefondolmetscherleistungen ist es nicht möglich, die Anforderungen der Leistungsbeschreibung in diesem Punkt zu erfüllen.</w:t>
            </w:r>
          </w:p>
        </w:tc>
        <w:tc>
          <w:tcPr>
            <w:tcW w:w="1318" w:type="dxa"/>
          </w:tcPr>
          <w:p>
            <w:pPr>
              <w:rPr>
                <w:rFonts w:ascii="Arial" w:hAnsi="Arial" w:cs="Arial"/>
              </w:rPr>
            </w:pPr>
            <w:r>
              <w:rPr>
                <w:rFonts w:ascii="Arial" w:hAnsi="Arial" w:cs="Arial"/>
              </w:rPr>
              <w:t>30.01.2017</w:t>
            </w:r>
          </w:p>
        </w:tc>
      </w:tr>
    </w:tbl>
    <w:p>
      <w:pPr>
        <w:spacing w:after="0"/>
        <w:rPr>
          <w:rFonts w:ascii="Arial" w:hAnsi="Arial" w:cs="Arial"/>
        </w:rPr>
      </w:pPr>
    </w:p>
    <w:sectPr>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inkAnnotation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pPr>
      <w:spacing w:after="0" w:line="240" w:lineRule="auto"/>
    </w:pPr>
    <w:rPr>
      <w:rFonts w:ascii="Calibri" w:hAnsi="Calibri"/>
      <w:szCs w:val="21"/>
    </w:rPr>
  </w:style>
  <w:style w:type="character" w:customStyle="1" w:styleId="NurTextZchn">
    <w:name w:val="Nur Text Zchn"/>
    <w:basedOn w:val="Absatz-Standardschriftart"/>
    <w:link w:val="NurText"/>
    <w:uiPriority w:val="99"/>
    <w:semiHidden/>
    <w:rPr>
      <w:rFonts w:ascii="Calibri" w:hAnsi="Calibri"/>
      <w:szCs w:val="21"/>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pPr>
      <w:spacing w:after="0" w:line="240" w:lineRule="auto"/>
    </w:pPr>
    <w:rPr>
      <w:rFonts w:ascii="Calibri" w:hAnsi="Calibri"/>
      <w:szCs w:val="21"/>
    </w:rPr>
  </w:style>
  <w:style w:type="character" w:customStyle="1" w:styleId="NurTextZchn">
    <w:name w:val="Nur Text Zchn"/>
    <w:basedOn w:val="Absatz-Standardschriftart"/>
    <w:link w:val="NurText"/>
    <w:uiPriority w:val="99"/>
    <w:semiHidden/>
    <w:rPr>
      <w:rFonts w:ascii="Calibri" w:hAnsi="Calibri"/>
      <w:szCs w:val="21"/>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131299">
      <w:bodyDiv w:val="1"/>
      <w:marLeft w:val="0"/>
      <w:marRight w:val="0"/>
      <w:marTop w:val="0"/>
      <w:marBottom w:val="0"/>
      <w:divBdr>
        <w:top w:val="none" w:sz="0" w:space="0" w:color="auto"/>
        <w:left w:val="none" w:sz="0" w:space="0" w:color="auto"/>
        <w:bottom w:val="none" w:sz="0" w:space="0" w:color="auto"/>
        <w:right w:val="none" w:sz="0" w:space="0" w:color="auto"/>
      </w:divBdr>
    </w:div>
    <w:div w:id="146060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280</Words>
  <Characters>1770</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2046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Wernitz, Peter</dc:creator>
  <cp:lastModifiedBy>Steck, Ingrid</cp:lastModifiedBy>
  <cp:revision>2</cp:revision>
  <cp:lastPrinted>2017-02-02T10:49:00Z</cp:lastPrinted>
  <dcterms:created xsi:type="dcterms:W3CDTF">2017-02-02T10:59:00Z</dcterms:created>
  <dcterms:modified xsi:type="dcterms:W3CDTF">2017-02-02T10:59:00Z</dcterms:modified>
</cp:coreProperties>
</file>